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DA94" w14:textId="77777777" w:rsidR="00925EA9" w:rsidRPr="00925EA9" w:rsidRDefault="00925EA9" w:rsidP="00925EA9">
      <w:pPr>
        <w:shd w:val="clear" w:color="auto" w:fill="FBEED0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9"/>
          <w:szCs w:val="19"/>
          <w:lang w:val="en-US"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fldChar w:fldCharType="begin"/>
      </w: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val="en-US" w:eastAsia="ru-RU"/>
          <w14:ligatures w14:val="none"/>
        </w:rPr>
        <w:instrText>HYPERLINK "http://vetlek.ru/shop/?gid=2365&amp;id=4201"</w:instrText>
      </w: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</w: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fldChar w:fldCharType="separate"/>
      </w:r>
      <w:r w:rsidRPr="00925EA9">
        <w:rPr>
          <w:rFonts w:ascii="Verdana" w:eastAsia="Times New Roman" w:hAnsi="Verdana" w:cs="Times New Roman"/>
          <w:b/>
          <w:bCs/>
          <w:color w:val="0000FF"/>
          <w:kern w:val="0"/>
          <w:sz w:val="19"/>
          <w:szCs w:val="19"/>
          <w:u w:val="single"/>
          <w:lang w:eastAsia="ru-RU"/>
          <w14:ligatures w14:val="none"/>
        </w:rPr>
        <w:t>СТОП</w:t>
      </w:r>
      <w:r w:rsidRPr="00925EA9">
        <w:rPr>
          <w:rFonts w:ascii="Verdana" w:eastAsia="Times New Roman" w:hAnsi="Verdana" w:cs="Times New Roman"/>
          <w:b/>
          <w:bCs/>
          <w:color w:val="0000FF"/>
          <w:kern w:val="0"/>
          <w:sz w:val="19"/>
          <w:szCs w:val="19"/>
          <w:u w:val="single"/>
          <w:lang w:val="en-US" w:eastAsia="ru-RU"/>
          <w14:ligatures w14:val="none"/>
        </w:rPr>
        <w:t>-</w:t>
      </w:r>
      <w:r w:rsidRPr="00925EA9">
        <w:rPr>
          <w:rFonts w:ascii="Verdana" w:eastAsia="Times New Roman" w:hAnsi="Verdana" w:cs="Times New Roman"/>
          <w:b/>
          <w:bCs/>
          <w:color w:val="0000FF"/>
          <w:kern w:val="0"/>
          <w:sz w:val="19"/>
          <w:szCs w:val="19"/>
          <w:u w:val="single"/>
          <w:lang w:eastAsia="ru-RU"/>
          <w14:ligatures w14:val="none"/>
        </w:rPr>
        <w:t>ЗУД</w:t>
      </w:r>
      <w:r w:rsidRPr="00925EA9">
        <w:rPr>
          <w:rFonts w:ascii="Verdana" w:eastAsia="Times New Roman" w:hAnsi="Verdana" w:cs="Times New Roman"/>
          <w:b/>
          <w:bCs/>
          <w:color w:val="0000FF"/>
          <w:kern w:val="0"/>
          <w:sz w:val="19"/>
          <w:szCs w:val="19"/>
          <w:u w:val="single"/>
          <w:lang w:val="en-US" w:eastAsia="ru-RU"/>
          <w14:ligatures w14:val="none"/>
        </w:rPr>
        <w:t xml:space="preserve"> </w:t>
      </w:r>
      <w:r w:rsidRPr="00925EA9">
        <w:rPr>
          <w:rFonts w:ascii="Verdana" w:eastAsia="Times New Roman" w:hAnsi="Verdana" w:cs="Times New Roman"/>
          <w:b/>
          <w:bCs/>
          <w:color w:val="0000FF"/>
          <w:kern w:val="0"/>
          <w:sz w:val="19"/>
          <w:szCs w:val="19"/>
          <w:u w:val="single"/>
          <w:lang w:eastAsia="ru-RU"/>
          <w14:ligatures w14:val="none"/>
        </w:rPr>
        <w:t>суспензия</w:t>
      </w: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fldChar w:fldCharType="end"/>
      </w: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val="en-US" w:eastAsia="ru-RU"/>
          <w14:ligatures w14:val="none"/>
        </w:rPr>
        <w:t> (Stop-zud suspension)</w:t>
      </w:r>
    </w:p>
    <w:p w14:paraId="0E003DCE" w14:textId="77777777" w:rsidR="00925EA9" w:rsidRPr="00925EA9" w:rsidRDefault="00925EA9" w:rsidP="00925EA9">
      <w:pPr>
        <w:shd w:val="clear" w:color="auto" w:fill="FBEED0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для кошек и собак</w:t>
      </w:r>
    </w:p>
    <w:p w14:paraId="3A4FB9BD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1F956074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СОСТАВ И ФОРМА ВЫПУСКА</w:t>
      </w:r>
    </w:p>
    <w:p w14:paraId="40A1FEFC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Стоп-зуд суспензия — комплексный противовоспалительный препарат для лечения кожных заболеваний (Международное непатентованное наименование: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полькортолон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 или триамцинолон + пиридоксин гидрохлорид + рибофлавин + никотинамид + метионин). В 1 мл суспензии содержится: 1 мг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полькортолона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, 2 мг пиридоксина гидрохлорида (витамина B</w:t>
      </w:r>
      <w:r w:rsidRPr="00925EA9">
        <w:rPr>
          <w:rFonts w:ascii="Verdana" w:eastAsia="Times New Roman" w:hAnsi="Verdana" w:cs="Times New Roman"/>
          <w:color w:val="000000"/>
          <w:kern w:val="0"/>
          <w:sz w:val="15"/>
          <w:szCs w:val="15"/>
          <w:vertAlign w:val="subscript"/>
          <w:lang w:eastAsia="ru-RU"/>
          <w14:ligatures w14:val="none"/>
        </w:rPr>
        <w:t>6</w:t>
      </w: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), 4 мг рибофлавина (витамина В</w:t>
      </w:r>
      <w:r w:rsidRPr="00925EA9">
        <w:rPr>
          <w:rFonts w:ascii="Verdana" w:eastAsia="Times New Roman" w:hAnsi="Verdana" w:cs="Times New Roman"/>
          <w:color w:val="000000"/>
          <w:kern w:val="0"/>
          <w:sz w:val="15"/>
          <w:szCs w:val="15"/>
          <w:vertAlign w:val="subscript"/>
          <w:lang w:eastAsia="ru-RU"/>
          <w14:ligatures w14:val="none"/>
        </w:rPr>
        <w:t>2</w:t>
      </w: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), 10 мг никотинамида (витамина PP), 20 мг метионина, а также янтарная кислота и вспомогательные компоненты. По внешнему виду представляет собой суспензию от ярко желтого до оранжевого цвета для применения внутрь. Расфасовывают по 10 и 15 мл в полимерные флаконы, которые упаковывают в картонные коробки вместе со шприцем-дозатором.</w:t>
      </w:r>
    </w:p>
    <w:p w14:paraId="21BFCFE8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5697C043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ФАРМАКОЛОГИЧЕСКИЕ СВОЙСТВА</w:t>
      </w:r>
    </w:p>
    <w:p w14:paraId="16B7A109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Стоп-зуд суспензия благодаря наличию в ее составе высокоэффективного противовоспалительного компонента, витаминов, метионина и янтарной кислоты, оказывает комплексное воздействие на раздраженную кожу, быстро устраняет неприятные ощущения сухости, зуда и дискомфорта у животных.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Полькортолон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 является синтетическим глюкокортикоидом, обладающим выраженным противовоспалительным, десенсибилизирующим и противоотечным действием, он блокирует высвобождение медиаторов воспаления, в том числе простагландинов, потенцирующих воспалительный процесс. Препарат снижает количество тучных клеток, вырабатывающих гиалуроновую кислоту, уменьшает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порозность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 кровеносных капилляров, стимулирует биосинтез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липокартинов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 (специальных белков), обладающих противоотечной активностью. Витамины группы В, янтарная кислота и метионин улучшают обмен веществ и питание тканей, способствуют ускорению процессов заживления, уменьшают воспалительную реакцию и оказывают комплексное положительное влияние на состояние кожно-волосяного покрова. Стоп-зуд суспензия по степени воздействия на организм теплокровных животных относится к малоопасным веществам.</w:t>
      </w:r>
    </w:p>
    <w:p w14:paraId="1DA98FD1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0CFF0B96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ПОКАЗАНИЯ</w:t>
      </w:r>
    </w:p>
    <w:p w14:paraId="2F6C37FC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Назначают собакам и кошкам для лечения воспалительных и аллергических заболеваний кожи (крапивница, атопический дерматит, экземы, диффузный нейродермит, расчесы, аллопеции, инфицированные дерматиты, укусы насекомых).</w:t>
      </w:r>
    </w:p>
    <w:p w14:paraId="65AC84C1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266DC186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ДОЗЫ И СПОСОБ ПРИМЕНЕНИЯ</w:t>
      </w:r>
    </w:p>
    <w:p w14:paraId="5BA5EA40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Стоп-зуд суспензию применяют животным перорально в утреннее кормление с небольшим количеством корма или вводят принудительно в ротовую полость при помощи шприца-дозатора 1 раз в сутки из расчета: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EE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3152"/>
        <w:gridCol w:w="3153"/>
      </w:tblGrid>
      <w:tr w:rsidR="00925EA9" w:rsidRPr="00925EA9" w14:paraId="6DB0B171" w14:textId="77777777" w:rsidTr="00925EA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0718786A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 животного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50D021D8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Масса животного, кг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5BAF432B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 препарата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на одно животное, мл</w:t>
            </w:r>
          </w:p>
        </w:tc>
      </w:tr>
      <w:tr w:rsidR="00925EA9" w:rsidRPr="00925EA9" w14:paraId="62DB809D" w14:textId="77777777" w:rsidTr="00925EA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2E9440AD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925EA9"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Собаки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0881F3CF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 10 кг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11 – 20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21 – 30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31 – 40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Более 40 кг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7C730032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1,0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1,5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2,0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2,0</w:t>
            </w:r>
          </w:p>
        </w:tc>
      </w:tr>
      <w:tr w:rsidR="00925EA9" w:rsidRPr="00925EA9" w14:paraId="3A43D8B7" w14:textId="77777777" w:rsidTr="00925EA9">
        <w:trPr>
          <w:tblCellSpacing w:w="0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19E1EA05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5" w:history="1">
              <w:r w:rsidRPr="00925EA9">
                <w:rPr>
                  <w:rFonts w:ascii="Verdana" w:eastAsia="Times New Roman" w:hAnsi="Verdana" w:cs="Times New Roman"/>
                  <w:color w:val="0000FF"/>
                  <w:kern w:val="0"/>
                  <w:sz w:val="19"/>
                  <w:szCs w:val="19"/>
                  <w:u w:val="single"/>
                  <w:lang w:eastAsia="ru-RU"/>
                  <w14:ligatures w14:val="none"/>
                </w:rPr>
                <w:t>Кошки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0ADB7346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 – 3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Более 3 кг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D0"/>
            <w:hideMark/>
          </w:tcPr>
          <w:p w14:paraId="1FE1F369" w14:textId="77777777" w:rsidR="00925EA9" w:rsidRPr="00925EA9" w:rsidRDefault="00925EA9" w:rsidP="00925EA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0,25</w:t>
            </w:r>
            <w:r w:rsidRPr="00925EA9">
              <w:rPr>
                <w:rFonts w:ascii="Verdana" w:eastAsia="Times New Roman" w:hAnsi="Verdana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  <w:t>0,5</w:t>
            </w:r>
          </w:p>
        </w:tc>
      </w:tr>
    </w:tbl>
    <w:p w14:paraId="57DDA897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Первые 4 суток препарат применяют в терапевтической дозе (согласно приведенной выше таблице), в последующие 8 суток лечение проводят в половинной дозе. Следует избегать пропуска приема препарата, так как это может привести к снижению его эффективности. В случае пропуска приема суспензии Стоп-зуд, применение ее возобновляют в той же дозе и по указанной выше схеме.</w:t>
      </w:r>
    </w:p>
    <w:p w14:paraId="6D9986F7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35DB90F7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ПОБОЧНЫЕ ДЕЙСТВИЯ</w:t>
      </w:r>
    </w:p>
    <w:p w14:paraId="43552879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У животных с повышенной индивидуальной чувствительностью могут наблюдаться: угнетенное состояние, вялость, повышенное слюноотделение, расстройства функций желудочно-кишечного тракта. В этих случаях применение препарата прекращают и при необходимости назначают симптоматическое лечение. При первом применении препарата в редких случаях у животных возможно повышение слюноотделения, которое быстро проходит и не требует применение лекарственных средств.</w:t>
      </w:r>
    </w:p>
    <w:p w14:paraId="34FE9482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lastRenderedPageBreak/>
        <w:t> </w:t>
      </w:r>
    </w:p>
    <w:p w14:paraId="2593FDF2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ПРОТИВОПОКАЗАНИЯ</w:t>
      </w:r>
    </w:p>
    <w:p w14:paraId="3981E1AA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Индивидуальная повышенная чувствительность к компонентам препарата. Не рекомендуется применять у животных, страдающих сахарным диабетом и вирусными инфекциями.</w:t>
      </w:r>
    </w:p>
    <w:p w14:paraId="46BB0BCD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10C09789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ОСОБЫЕ УКАЗАНИЯ</w:t>
      </w:r>
    </w:p>
    <w:p w14:paraId="47821100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С осторожностью под контролем ветеринарного врача проводят лечение у беременных и кормящих самок.</w:t>
      </w:r>
    </w:p>
    <w:p w14:paraId="63D3099C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322492FE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УСЛОВИЯ ХРАНЕНИЯ</w:t>
      </w:r>
    </w:p>
    <w:p w14:paraId="4027F4A3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В сухом, защищенном от прямых солнечных лучей и недоступном для детей и животных месте, отдельно от пищевых продуктов и кормов при температуре от 0 до 25 °C. Срок годности — 2 года.</w:t>
      </w:r>
    </w:p>
    <w:p w14:paraId="57E0ED4D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 </w:t>
      </w:r>
    </w:p>
    <w:p w14:paraId="6AFC85E0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b/>
          <w:bCs/>
          <w:color w:val="000000"/>
          <w:kern w:val="0"/>
          <w:sz w:val="19"/>
          <w:szCs w:val="19"/>
          <w:lang w:eastAsia="ru-RU"/>
          <w14:ligatures w14:val="none"/>
        </w:rPr>
        <w:t>ПРОИЗВОДИТЕЛЬ</w:t>
      </w:r>
    </w:p>
    <w:p w14:paraId="74A8D995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ООО НПФ «Апи-Сан», Россия.</w:t>
      </w:r>
    </w:p>
    <w:p w14:paraId="0CB02909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Адрес: 143985, Московская обл., Балашихинский р-н,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Новомилетский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 с/о, пос. Новый Милет,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Полтевское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 xml:space="preserve"> шоссе, </w:t>
      </w:r>
      <w:proofErr w:type="spellStart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влад</w:t>
      </w:r>
      <w:proofErr w:type="spellEnd"/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. 4.</w:t>
      </w:r>
    </w:p>
    <w:p w14:paraId="5D22F424" w14:textId="77777777" w:rsidR="00925EA9" w:rsidRPr="00925EA9" w:rsidRDefault="00925EA9" w:rsidP="00925EA9">
      <w:pPr>
        <w:shd w:val="clear" w:color="auto" w:fill="FBEED0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</w:pPr>
      <w:r w:rsidRPr="00925EA9">
        <w:rPr>
          <w:rFonts w:ascii="Verdana" w:eastAsia="Times New Roman" w:hAnsi="Verdana" w:cs="Times New Roman"/>
          <w:color w:val="000000"/>
          <w:kern w:val="0"/>
          <w:sz w:val="19"/>
          <w:szCs w:val="19"/>
          <w:lang w:eastAsia="ru-RU"/>
          <w14:ligatures w14:val="none"/>
        </w:rPr>
        <w:t>Тел./факс: (495) 580-77-13</w:t>
      </w:r>
    </w:p>
    <w:p w14:paraId="631BA656" w14:textId="77777777" w:rsidR="003E4A3C" w:rsidRDefault="003E4A3C"/>
    <w:sectPr w:rsidR="003E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E4"/>
    <w:rsid w:val="003E4A3C"/>
    <w:rsid w:val="00896C2F"/>
    <w:rsid w:val="00925EA9"/>
    <w:rsid w:val="00C8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02DD-2D3B-4438-A435-D7D2FEC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EA9"/>
    <w:rPr>
      <w:b/>
      <w:bCs/>
    </w:rPr>
  </w:style>
  <w:style w:type="character" w:styleId="a4">
    <w:name w:val="Hyperlink"/>
    <w:basedOn w:val="a0"/>
    <w:uiPriority w:val="99"/>
    <w:semiHidden/>
    <w:unhideWhenUsed/>
    <w:rsid w:val="0092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tlek.ru/shop/?gid=2365&amp;id=4200" TargetMode="External"/><Relationship Id="rId4" Type="http://schemas.openxmlformats.org/officeDocument/2006/relationships/hyperlink" Target="http://vetlek.ru/shop/?gid=2365&amp;id=4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кузнецова</cp:lastModifiedBy>
  <cp:revision>2</cp:revision>
  <dcterms:created xsi:type="dcterms:W3CDTF">2023-08-03T18:08:00Z</dcterms:created>
  <dcterms:modified xsi:type="dcterms:W3CDTF">2023-08-03T18:08:00Z</dcterms:modified>
</cp:coreProperties>
</file>